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5670"/>
        <w:gridCol w:w="6470"/>
      </w:tblGrid>
      <w:tr w:rsidR="00417789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064357">
              <w:rPr>
                <w:i/>
              </w:rPr>
              <w:t>122</w:t>
            </w:r>
          </w:p>
        </w:tc>
        <w:tc>
          <w:tcPr>
            <w:tcW w:w="6470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064357" w:rsidRPr="00D11004" w:rsidTr="00FC2F08">
        <w:tc>
          <w:tcPr>
            <w:tcW w:w="2122" w:type="dxa"/>
          </w:tcPr>
          <w:p w:rsidR="00064357" w:rsidRPr="00D11004" w:rsidRDefault="00064357" w:rsidP="00064357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5670" w:type="dxa"/>
          </w:tcPr>
          <w:p w:rsidR="00064357" w:rsidRPr="00400E6E" w:rsidRDefault="00064357" w:rsidP="00064357">
            <w:pPr>
              <w:rPr>
                <w:rFonts w:cstheme="minorHAnsi"/>
                <w:b/>
                <w:i/>
              </w:rPr>
            </w:pPr>
            <w:r w:rsidRPr="00400E6E">
              <w:rPr>
                <w:rFonts w:cstheme="minorHAnsi"/>
                <w:b/>
                <w:i/>
              </w:rPr>
              <w:t xml:space="preserve">Spezialmodul </w:t>
            </w:r>
            <w:r>
              <w:rPr>
                <w:rFonts w:cstheme="minorHAnsi"/>
                <w:b/>
                <w:i/>
              </w:rPr>
              <w:t xml:space="preserve">Regionale </w:t>
            </w:r>
            <w:r w:rsidRPr="00400E6E">
              <w:rPr>
                <w:rFonts w:cstheme="minorHAnsi"/>
                <w:b/>
                <w:i/>
              </w:rPr>
              <w:t>Vermarktung</w:t>
            </w:r>
            <w:r>
              <w:rPr>
                <w:rFonts w:cstheme="minorHAnsi"/>
                <w:b/>
                <w:i/>
              </w:rPr>
              <w:t xml:space="preserve"> </w:t>
            </w:r>
          </w:p>
        </w:tc>
        <w:tc>
          <w:tcPr>
            <w:tcW w:w="6470" w:type="dxa"/>
            <w:vMerge w:val="restart"/>
          </w:tcPr>
          <w:p w:rsidR="00064357" w:rsidRPr="00D11004" w:rsidRDefault="00064357" w:rsidP="00064357">
            <w:pPr>
              <w:rPr>
                <w:b/>
                <w:i/>
              </w:rPr>
            </w:pPr>
          </w:p>
        </w:tc>
      </w:tr>
      <w:tr w:rsidR="00064357" w:rsidRPr="00D11004" w:rsidTr="00FC2F08">
        <w:tc>
          <w:tcPr>
            <w:tcW w:w="2122" w:type="dxa"/>
          </w:tcPr>
          <w:p w:rsidR="00064357" w:rsidRPr="00D11004" w:rsidRDefault="00064357" w:rsidP="00064357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5670" w:type="dxa"/>
          </w:tcPr>
          <w:p w:rsidR="00064357" w:rsidRPr="00842140" w:rsidRDefault="00064357" w:rsidP="00064357">
            <w:pPr>
              <w:rPr>
                <w:rFonts w:cstheme="minorHAnsi"/>
              </w:rPr>
            </w:pPr>
            <w:r w:rsidRPr="0060229A">
              <w:rPr>
                <w:rFonts w:cstheme="minorHAnsi"/>
              </w:rPr>
              <w:t>Verbesserung der bestehenden Vermarktung oder Entwicklung neuer Geschäftsfelder</w:t>
            </w:r>
          </w:p>
        </w:tc>
        <w:tc>
          <w:tcPr>
            <w:tcW w:w="6470" w:type="dxa"/>
            <w:vMerge/>
          </w:tcPr>
          <w:p w:rsidR="00064357" w:rsidRPr="00D11004" w:rsidRDefault="00064357" w:rsidP="00064357">
            <w:pPr>
              <w:contextualSpacing/>
            </w:pPr>
          </w:p>
        </w:tc>
      </w:tr>
      <w:tr w:rsidR="00064357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064357" w:rsidRPr="00D11004" w:rsidRDefault="00064357" w:rsidP="00064357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064357" w:rsidRPr="00D11004" w:rsidRDefault="00064357" w:rsidP="00064357">
            <w:pPr>
              <w:rPr>
                <w:rFonts w:cstheme="minorHAnsi"/>
                <w:b/>
              </w:rPr>
            </w:pPr>
          </w:p>
        </w:tc>
      </w:tr>
      <w:tr w:rsidR="00064357" w:rsidRPr="00D11004" w:rsidTr="00FC2F08">
        <w:tc>
          <w:tcPr>
            <w:tcW w:w="7792" w:type="dxa"/>
            <w:gridSpan w:val="2"/>
            <w:shd w:val="clear" w:color="auto" w:fill="FFFFFF" w:themeFill="background1"/>
          </w:tcPr>
          <w:p w:rsidR="00064357" w:rsidRPr="00400E6E" w:rsidRDefault="00064357" w:rsidP="0006435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400E6E">
              <w:rPr>
                <w:rFonts w:cstheme="minorHAnsi"/>
              </w:rPr>
              <w:t xml:space="preserve">Verbesserung der Arbeits- und Einkommenssituation im </w:t>
            </w:r>
            <w:r>
              <w:rPr>
                <w:rFonts w:cstheme="minorHAnsi"/>
              </w:rPr>
              <w:t>Unternehmen</w:t>
            </w:r>
          </w:p>
          <w:p w:rsidR="00064357" w:rsidRPr="00400E6E" w:rsidRDefault="00064357" w:rsidP="0006435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400E6E">
              <w:rPr>
                <w:rFonts w:cstheme="minorHAnsi"/>
              </w:rPr>
              <w:t>Erhöhung der regionalen Wertschöpfung</w:t>
            </w:r>
          </w:p>
          <w:p w:rsidR="00064357" w:rsidRPr="00400E6E" w:rsidRDefault="00064357" w:rsidP="0006435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400E6E">
              <w:rPr>
                <w:rFonts w:cstheme="minorHAnsi"/>
              </w:rPr>
              <w:t>Erhöhung der Attraktivität des ländlichen Raums</w:t>
            </w:r>
          </w:p>
          <w:p w:rsidR="00064357" w:rsidRPr="00400E6E" w:rsidRDefault="00064357" w:rsidP="0006435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400E6E">
              <w:rPr>
                <w:rFonts w:cstheme="minorHAnsi"/>
              </w:rPr>
              <w:t>Erhöhung der Versorgung mit regional erzeugten Produkten und Dienstleistungen</w:t>
            </w:r>
          </w:p>
        </w:tc>
        <w:tc>
          <w:tcPr>
            <w:tcW w:w="6470" w:type="dxa"/>
            <w:vMerge/>
            <w:shd w:val="clear" w:color="auto" w:fill="FFFFFF" w:themeFill="background1"/>
          </w:tcPr>
          <w:p w:rsidR="00064357" w:rsidRPr="00D11004" w:rsidRDefault="00064357" w:rsidP="00064357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064357" w:rsidRPr="00D11004" w:rsidTr="00FC2F08">
        <w:tc>
          <w:tcPr>
            <w:tcW w:w="7792" w:type="dxa"/>
            <w:gridSpan w:val="2"/>
            <w:shd w:val="clear" w:color="auto" w:fill="F2F2F2" w:themeFill="background1" w:themeFillShade="F2"/>
          </w:tcPr>
          <w:p w:rsidR="00064357" w:rsidRPr="00D11004" w:rsidRDefault="00064357" w:rsidP="00064357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6470" w:type="dxa"/>
            <w:vMerge/>
            <w:shd w:val="clear" w:color="auto" w:fill="F2F2F2" w:themeFill="background1" w:themeFillShade="F2"/>
          </w:tcPr>
          <w:p w:rsidR="00064357" w:rsidRPr="00D11004" w:rsidRDefault="00064357" w:rsidP="00064357">
            <w:pPr>
              <w:rPr>
                <w:rFonts w:cstheme="minorHAnsi"/>
                <w:b/>
              </w:rPr>
            </w:pPr>
          </w:p>
        </w:tc>
      </w:tr>
      <w:tr w:rsidR="00064357" w:rsidRPr="00D11004" w:rsidTr="00FC2F08">
        <w:tc>
          <w:tcPr>
            <w:tcW w:w="2122" w:type="dxa"/>
          </w:tcPr>
          <w:p w:rsidR="00064357" w:rsidRPr="00D11004" w:rsidRDefault="00064357" w:rsidP="00064357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5670" w:type="dxa"/>
          </w:tcPr>
          <w:p w:rsidR="00064357" w:rsidRPr="00186950" w:rsidRDefault="00064357" w:rsidP="0006435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Potentiale und </w:t>
            </w:r>
            <w:r w:rsidRPr="00186950">
              <w:rPr>
                <w:rFonts w:cstheme="minorHAnsi"/>
              </w:rPr>
              <w:t>Marketing-Strategie im Regional</w:t>
            </w:r>
            <w:r>
              <w:rPr>
                <w:rFonts w:cstheme="minorHAnsi"/>
              </w:rPr>
              <w:t>m</w:t>
            </w:r>
            <w:r w:rsidRPr="00186950">
              <w:rPr>
                <w:rFonts w:cstheme="minorHAnsi"/>
              </w:rPr>
              <w:t xml:space="preserve">arkt </w:t>
            </w:r>
          </w:p>
          <w:p w:rsidR="00064357" w:rsidRPr="00186950" w:rsidRDefault="00064357" w:rsidP="0006435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186950">
              <w:rPr>
                <w:rFonts w:cstheme="minorHAnsi"/>
              </w:rPr>
              <w:t>Sortimentsplanung und Kommunikationskonzepte</w:t>
            </w:r>
          </w:p>
          <w:p w:rsidR="00064357" w:rsidRPr="00186950" w:rsidRDefault="00064357" w:rsidP="0006435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186950">
              <w:rPr>
                <w:rFonts w:cstheme="minorHAnsi"/>
              </w:rPr>
              <w:t>Einschätzung der Chancen und Risiken einer möglichen Entwicklung</w:t>
            </w:r>
          </w:p>
          <w:p w:rsidR="00064357" w:rsidRPr="00186950" w:rsidRDefault="00064357" w:rsidP="0006435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>
              <w:rPr>
                <w:rFonts w:cstheme="minorHAnsi"/>
              </w:rPr>
              <w:t xml:space="preserve">Rahmenbedingungen und </w:t>
            </w:r>
            <w:r w:rsidRPr="00186950">
              <w:rPr>
                <w:rFonts w:cstheme="minorHAnsi"/>
              </w:rPr>
              <w:t>Anforderungen</w:t>
            </w:r>
          </w:p>
          <w:p w:rsidR="00064357" w:rsidRPr="00186950" w:rsidRDefault="00064357" w:rsidP="0006435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186950">
              <w:rPr>
                <w:rFonts w:cstheme="minorHAnsi"/>
              </w:rPr>
              <w:t xml:space="preserve">Kalkulation </w:t>
            </w:r>
            <w:r>
              <w:rPr>
                <w:rFonts w:cstheme="minorHAnsi"/>
              </w:rPr>
              <w:t>der V</w:t>
            </w:r>
            <w:r w:rsidRPr="00186950">
              <w:rPr>
                <w:rFonts w:cstheme="minorHAnsi"/>
              </w:rPr>
              <w:t xml:space="preserve">ermarktung </w:t>
            </w:r>
          </w:p>
          <w:p w:rsidR="00064357" w:rsidRPr="00D54B18" w:rsidRDefault="00064357" w:rsidP="0006435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</w:rPr>
            </w:pPr>
            <w:r w:rsidRPr="00A879C2">
              <w:rPr>
                <w:rFonts w:cstheme="minorHAnsi"/>
              </w:rPr>
              <w:t xml:space="preserve">Kennzahlenvergleich – Controlling – Preisgestaltung </w:t>
            </w:r>
            <w:r w:rsidRPr="00A879C2">
              <w:t>(fakultativ)</w:t>
            </w:r>
          </w:p>
        </w:tc>
        <w:tc>
          <w:tcPr>
            <w:tcW w:w="6470" w:type="dxa"/>
            <w:vMerge/>
          </w:tcPr>
          <w:p w:rsidR="00064357" w:rsidRPr="00D11004" w:rsidRDefault="00064357" w:rsidP="00064357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064357" w:rsidRPr="00D11004" w:rsidTr="00FC2F08">
        <w:tc>
          <w:tcPr>
            <w:tcW w:w="2122" w:type="dxa"/>
          </w:tcPr>
          <w:p w:rsidR="00064357" w:rsidRPr="00D11004" w:rsidRDefault="00064357" w:rsidP="00064357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5670" w:type="dxa"/>
          </w:tcPr>
          <w:p w:rsidR="00064357" w:rsidRPr="00400E6E" w:rsidRDefault="00064357" w:rsidP="00064357">
            <w:pPr>
              <w:rPr>
                <w:rFonts w:cstheme="minorHAnsi"/>
              </w:rPr>
            </w:pPr>
            <w:r>
              <w:rPr>
                <w:rFonts w:cstheme="minorHAnsi"/>
              </w:rPr>
              <w:t>Wirtschaftlichkeitsberechnung Im Bereich Einkommenskombination (LEL)</w:t>
            </w:r>
          </w:p>
        </w:tc>
        <w:tc>
          <w:tcPr>
            <w:tcW w:w="6470" w:type="dxa"/>
            <w:vMerge/>
          </w:tcPr>
          <w:p w:rsidR="00064357" w:rsidRDefault="00064357" w:rsidP="00064357">
            <w:pPr>
              <w:numPr>
                <w:ilvl w:val="0"/>
                <w:numId w:val="10"/>
              </w:numPr>
              <w:contextualSpacing/>
            </w:pPr>
          </w:p>
        </w:tc>
      </w:tr>
      <w:tr w:rsidR="00064357" w:rsidRPr="00D11004" w:rsidTr="00FC2F08">
        <w:tc>
          <w:tcPr>
            <w:tcW w:w="2122" w:type="dxa"/>
          </w:tcPr>
          <w:p w:rsidR="00064357" w:rsidRPr="00FC2F08" w:rsidRDefault="00064357" w:rsidP="00064357">
            <w:pPr>
              <w:rPr>
                <w:rFonts w:cstheme="minorHAnsi"/>
                <w:i/>
                <w:color w:val="808080" w:themeColor="background1" w:themeShade="80"/>
              </w:rPr>
            </w:pPr>
            <w:r w:rsidRPr="00FC2F08">
              <w:rPr>
                <w:rFonts w:cstheme="minorHAnsi"/>
                <w:i/>
                <w:color w:val="808080" w:themeColor="background1" w:themeShade="80"/>
              </w:rPr>
              <w:t>Anforderungen aus der ELER-Verord</w:t>
            </w:r>
            <w:bookmarkStart w:id="0" w:name="_GoBack"/>
            <w:bookmarkEnd w:id="0"/>
            <w:r w:rsidRPr="00FC2F08">
              <w:rPr>
                <w:rFonts w:cstheme="minorHAnsi"/>
                <w:i/>
                <w:color w:val="808080" w:themeColor="background1" w:themeShade="80"/>
              </w:rPr>
              <w:t>nung</w:t>
            </w:r>
          </w:p>
        </w:tc>
        <w:tc>
          <w:tcPr>
            <w:tcW w:w="5670" w:type="dxa"/>
          </w:tcPr>
          <w:p w:rsidR="00064357" w:rsidRPr="00064357" w:rsidRDefault="00064357" w:rsidP="0006435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064357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Betriebe; Erhöhung der Marktbeteiligung und -orientierung sowie der landwirtschaftlichen Diversifizierung</w:t>
            </w:r>
          </w:p>
          <w:p w:rsidR="00064357" w:rsidRPr="00064357" w:rsidRDefault="00064357" w:rsidP="0006435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064357">
              <w:rPr>
                <w:rFonts w:cstheme="minorHAnsi"/>
                <w:i/>
                <w:color w:val="808080" w:themeColor="background1" w:themeShade="80"/>
              </w:rPr>
              <w:t>Erleichterung der Diversifizierung, Gründung und Entwicklung von kleinen Unternehmen und Schaffung von Arbeitsplätzen</w:t>
            </w:r>
          </w:p>
          <w:p w:rsidR="00064357" w:rsidRPr="00064357" w:rsidRDefault="00064357" w:rsidP="0006435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064357">
              <w:rPr>
                <w:rFonts w:cstheme="minorHAnsi"/>
                <w:i/>
                <w:color w:val="808080" w:themeColor="background1" w:themeShade="80"/>
              </w:rPr>
              <w:t>Standards für die Sicherheit am Arbeitsplatz</w:t>
            </w:r>
          </w:p>
          <w:p w:rsidR="00064357" w:rsidRPr="00064357" w:rsidRDefault="00064357" w:rsidP="0006435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064357">
              <w:rPr>
                <w:rFonts w:cstheme="minorHAnsi"/>
                <w:i/>
                <w:color w:val="808080" w:themeColor="background1" w:themeShade="80"/>
              </w:rPr>
              <w:t>Beratung bei der Entwicklung kurzer Versorgungs-ketten</w:t>
            </w:r>
          </w:p>
        </w:tc>
        <w:tc>
          <w:tcPr>
            <w:tcW w:w="6470" w:type="dxa"/>
            <w:vMerge/>
          </w:tcPr>
          <w:p w:rsidR="00064357" w:rsidRPr="00417789" w:rsidRDefault="00064357" w:rsidP="00064357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64357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4923688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2</cp:revision>
  <cp:lastPrinted>2017-08-07T16:21:00Z</cp:lastPrinted>
  <dcterms:created xsi:type="dcterms:W3CDTF">2021-05-12T09:08:00Z</dcterms:created>
  <dcterms:modified xsi:type="dcterms:W3CDTF">2021-05-12T09:08:00Z</dcterms:modified>
</cp:coreProperties>
</file>